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51A98" w14:textId="77777777" w:rsidR="00C21B56" w:rsidRPr="00045E8B" w:rsidRDefault="00C21B56" w:rsidP="00C21B5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45E8B">
        <w:rPr>
          <w:rFonts w:ascii="Times New Roman" w:eastAsia="Aptos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290D9B4" wp14:editId="19FC9F51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A373F" w14:textId="77777777" w:rsidR="00C21B56" w:rsidRPr="00045E8B" w:rsidRDefault="00C21B56" w:rsidP="00C21B5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60B659A8" w14:textId="77777777" w:rsidR="00C21B56" w:rsidRPr="00045E8B" w:rsidRDefault="00C21B56" w:rsidP="00C21B5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135BA4D5" w14:textId="77777777" w:rsidR="00C21B56" w:rsidRPr="00045E8B" w:rsidRDefault="00C21B56" w:rsidP="00C21B5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3DCF3E2B" w14:textId="4D877664" w:rsidR="00C21B56" w:rsidRDefault="00C21B56" w:rsidP="00C21B56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>
        <w:rPr>
          <w:rFonts w:ascii="Times New Roman" w:eastAsia="Aptos" w:hAnsi="Times New Roman" w:cs="Times New Roman"/>
          <w:sz w:val="28"/>
          <w:szCs w:val="28"/>
          <w:lang w:bidi="uk-UA"/>
        </w:rPr>
        <w:t>27</w:t>
      </w:r>
      <w:r w:rsidRPr="002E698B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</w:t>
      </w:r>
      <w:r>
        <w:rPr>
          <w:rFonts w:ascii="Times New Roman" w:eastAsia="Aptos" w:hAnsi="Times New Roman" w:cs="Times New Roman"/>
          <w:sz w:val="28"/>
          <w:szCs w:val="28"/>
          <w:lang w:bidi="uk-UA"/>
        </w:rPr>
        <w:t>грудня</w:t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2024 року  </w:t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ab/>
        <w:t xml:space="preserve">  </w:t>
      </w:r>
      <w:r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      </w:t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</w:t>
      </w:r>
      <w:r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      </w:t>
      </w:r>
      <w:r w:rsidRPr="00045E8B">
        <w:rPr>
          <w:rFonts w:ascii="Times New Roman" w:eastAsia="Aptos" w:hAnsi="Times New Roman" w:cs="Times New Roman"/>
          <w:sz w:val="28"/>
          <w:szCs w:val="28"/>
          <w:lang w:bidi="uk-UA"/>
        </w:rPr>
        <w:t>№</w:t>
      </w:r>
      <w:r w:rsidR="005F5D65">
        <w:rPr>
          <w:rFonts w:ascii="Times New Roman" w:eastAsia="Aptos" w:hAnsi="Times New Roman" w:cs="Times New Roman"/>
          <w:sz w:val="28"/>
          <w:szCs w:val="28"/>
          <w:lang w:bidi="uk-UA"/>
        </w:rPr>
        <w:t>13/6</w:t>
      </w:r>
    </w:p>
    <w:p w14:paraId="65496D69" w14:textId="77777777" w:rsidR="00C21B56" w:rsidRDefault="00C21B56"/>
    <w:tbl>
      <w:tblPr>
        <w:tblStyle w:val="ae"/>
        <w:tblW w:w="936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843"/>
      </w:tblGrid>
      <w:tr w:rsidR="00C21B56" w:rsidRPr="00984EBD" w14:paraId="64925175" w14:textId="77777777" w:rsidTr="00C21B56">
        <w:tc>
          <w:tcPr>
            <w:tcW w:w="4525" w:type="dxa"/>
          </w:tcPr>
          <w:p w14:paraId="6A83B8E9" w14:textId="77777777" w:rsidR="00C21B56" w:rsidRPr="001A78EC" w:rsidRDefault="00C21B56" w:rsidP="00B044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4E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>Про</w:t>
            </w: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 xml:space="preserve"> </w:t>
            </w:r>
            <w:r w:rsidRPr="008B5F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затвердження </w:t>
            </w:r>
            <w:r w:rsidRPr="001A78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Порядку про переведення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A78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житлових будинків, приміщень  у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A78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нежитлові та нежитлових будинків, приміщень</w:t>
            </w:r>
          </w:p>
          <w:p w14:paraId="5A59B24A" w14:textId="77777777" w:rsidR="00C21B56" w:rsidRPr="001A78EC" w:rsidRDefault="00C21B56" w:rsidP="00B04428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8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 житлові на території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Вишнівської сільської ради</w:t>
            </w:r>
          </w:p>
          <w:p w14:paraId="3E19A417" w14:textId="77777777" w:rsidR="00C21B56" w:rsidRPr="00984EBD" w:rsidRDefault="00C21B56" w:rsidP="00B044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  <w:tc>
          <w:tcPr>
            <w:tcW w:w="4843" w:type="dxa"/>
          </w:tcPr>
          <w:p w14:paraId="78B8CCB6" w14:textId="77777777" w:rsidR="00C21B56" w:rsidRPr="00984EBD" w:rsidRDefault="00C21B56" w:rsidP="00B0442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</w:tbl>
    <w:p w14:paraId="5C4BF2B5" w14:textId="3019FCCB" w:rsidR="00C21B56" w:rsidRPr="00984EBD" w:rsidRDefault="00C21B56" w:rsidP="00C21B5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552DDD">
        <w:rPr>
          <w:rFonts w:ascii="Times New Roman" w:hAnsi="Times New Roman"/>
          <w:sz w:val="28"/>
          <w:szCs w:val="28"/>
        </w:rPr>
        <w:t>Відповідно до статті 30 Закону України "Про місцеве самоврядування в Україні", Житлового кодексу Україн</w:t>
      </w:r>
      <w:r>
        <w:rPr>
          <w:rFonts w:ascii="Times New Roman" w:hAnsi="Times New Roman"/>
          <w:sz w:val="28"/>
          <w:szCs w:val="28"/>
        </w:rPr>
        <w:t>и</w:t>
      </w:r>
      <w:r w:rsidRPr="00552D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F30">
        <w:rPr>
          <w:rFonts w:ascii="Times New Roman" w:hAnsi="Times New Roman" w:cs="Times New Roman"/>
          <w:sz w:val="28"/>
          <w:szCs w:val="28"/>
          <w:shd w:val="clear" w:color="auto" w:fill="FFFFFF"/>
        </w:rPr>
        <w:t>379,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5F30">
        <w:rPr>
          <w:rFonts w:ascii="Times New Roman" w:hAnsi="Times New Roman" w:cs="Times New Roman"/>
          <w:sz w:val="28"/>
          <w:szCs w:val="28"/>
          <w:shd w:val="clear" w:color="auto" w:fill="FFFFFF"/>
        </w:rPr>
        <w:t>319,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5F30">
        <w:rPr>
          <w:rFonts w:ascii="Times New Roman" w:hAnsi="Times New Roman" w:cs="Times New Roman"/>
          <w:sz w:val="28"/>
          <w:szCs w:val="28"/>
          <w:shd w:val="clear" w:color="auto" w:fill="FFFFFF"/>
        </w:rPr>
        <w:t>320,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5F30">
        <w:rPr>
          <w:rFonts w:ascii="Times New Roman" w:hAnsi="Times New Roman" w:cs="Times New Roman"/>
          <w:sz w:val="28"/>
          <w:szCs w:val="28"/>
          <w:shd w:val="clear" w:color="auto" w:fill="FFFFFF"/>
        </w:rPr>
        <w:t>383 ЦК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57A0D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57A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«Про регулювання містобудівної діяльності»,</w:t>
      </w:r>
      <w:r w:rsidRPr="00357A0D">
        <w:rPr>
          <w:shd w:val="clear" w:color="auto" w:fill="FFFFFF"/>
        </w:rPr>
        <w:t xml:space="preserve"> </w:t>
      </w:r>
      <w:r w:rsidRPr="003C4343">
        <w:rPr>
          <w:rFonts w:ascii="Times New Roman" w:hAnsi="Times New Roman"/>
          <w:sz w:val="28"/>
          <w:szCs w:val="28"/>
        </w:rPr>
        <w:t>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Української РСР від 26.04.1984 № 189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235AC">
        <w:rPr>
          <w:rFonts w:ascii="ProbaProRegular" w:eastAsia="Times New Roman" w:hAnsi="ProbaProRegular" w:cs="Times New Roman"/>
          <w:color w:val="1D1D1B"/>
          <w:sz w:val="28"/>
          <w:szCs w:val="28"/>
          <w:bdr w:val="none" w:sz="0" w:space="0" w:color="auto" w:frame="1"/>
        </w:rPr>
        <w:t xml:space="preserve">Правил користування приміщеннями житлових будинків, затверджених постановою Кабінету Міністрів України </w:t>
      </w:r>
      <w:r>
        <w:rPr>
          <w:rFonts w:ascii="ProbaProRegular" w:eastAsia="Times New Roman" w:hAnsi="ProbaProRegular" w:cs="Times New Roman"/>
          <w:color w:val="1D1D1B"/>
          <w:sz w:val="28"/>
          <w:szCs w:val="28"/>
          <w:bdr w:val="none" w:sz="0" w:space="0" w:color="auto" w:frame="1"/>
        </w:rPr>
        <w:t>від 08 жовтня 1992 року № 572 (</w:t>
      </w:r>
      <w:r w:rsidRPr="001235AC">
        <w:rPr>
          <w:rFonts w:ascii="ProbaProRegular" w:eastAsia="Times New Roman" w:hAnsi="ProbaProRegular" w:cs="Times New Roman"/>
          <w:color w:val="1D1D1B"/>
          <w:sz w:val="28"/>
          <w:szCs w:val="28"/>
          <w:bdr w:val="none" w:sz="0" w:space="0" w:color="auto" w:frame="1"/>
        </w:rPr>
        <w:t>зі змінами),</w:t>
      </w:r>
      <w:r>
        <w:rPr>
          <w:rFonts w:ascii="ProbaProRegular" w:eastAsia="Times New Roman" w:hAnsi="ProbaProRegular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D523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державних будівельних норм України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виконавчий комітет </w:t>
      </w:r>
    </w:p>
    <w:p w14:paraId="68AAF799" w14:textId="77777777" w:rsidR="00C21B56" w:rsidRPr="00984EBD" w:rsidRDefault="00C21B56" w:rsidP="00C21B56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1E98D5D" w14:textId="77777777" w:rsidR="00C21B56" w:rsidRDefault="00C21B56" w:rsidP="00C21B56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ИВ</w:t>
      </w: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:</w:t>
      </w:r>
    </w:p>
    <w:p w14:paraId="77E0E806" w14:textId="77777777" w:rsidR="00C21B56" w:rsidRDefault="00C21B56" w:rsidP="00C21B56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A3213B7" w14:textId="3F1A7321" w:rsidR="00C21B56" w:rsidRPr="00357A0D" w:rsidRDefault="00C21B56" w:rsidP="00C21B56">
      <w:pPr>
        <w:spacing w:before="120" w:after="0" w:line="240" w:lineRule="auto"/>
        <w:ind w:left="11" w:right="28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hAnsi="Times New Roman"/>
          <w:sz w:val="28"/>
          <w:szCs w:val="28"/>
        </w:rPr>
        <w:t xml:space="preserve">Порядок про </w:t>
      </w:r>
      <w:r w:rsidRPr="00623803">
        <w:rPr>
          <w:rFonts w:ascii="Times New Roman" w:hAnsi="Times New Roman"/>
          <w:sz w:val="28"/>
          <w:szCs w:val="28"/>
        </w:rPr>
        <w:t>переведення житлов</w:t>
      </w:r>
      <w:r>
        <w:rPr>
          <w:rFonts w:ascii="Times New Roman" w:hAnsi="Times New Roman"/>
          <w:sz w:val="28"/>
          <w:szCs w:val="28"/>
        </w:rPr>
        <w:t>их</w:t>
      </w:r>
      <w:r w:rsidRPr="00623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будинків, </w:t>
      </w:r>
      <w:r w:rsidRPr="00623803">
        <w:rPr>
          <w:rFonts w:ascii="Times New Roman" w:hAnsi="Times New Roman"/>
          <w:sz w:val="28"/>
          <w:szCs w:val="28"/>
        </w:rPr>
        <w:t>приміщен</w:t>
      </w:r>
      <w:r>
        <w:rPr>
          <w:rFonts w:ascii="Times New Roman" w:hAnsi="Times New Roman"/>
          <w:sz w:val="28"/>
          <w:szCs w:val="28"/>
        </w:rPr>
        <w:t>ь</w:t>
      </w:r>
      <w:r w:rsidRPr="00623803">
        <w:rPr>
          <w:rFonts w:ascii="Times New Roman" w:hAnsi="Times New Roman"/>
          <w:sz w:val="28"/>
          <w:szCs w:val="28"/>
        </w:rPr>
        <w:t xml:space="preserve"> у нежитлов</w:t>
      </w:r>
      <w:r>
        <w:rPr>
          <w:rFonts w:ascii="Times New Roman" w:hAnsi="Times New Roman"/>
          <w:sz w:val="28"/>
          <w:szCs w:val="28"/>
        </w:rPr>
        <w:t>і</w:t>
      </w:r>
      <w:r w:rsidRPr="00623803">
        <w:rPr>
          <w:rFonts w:ascii="Times New Roman" w:hAnsi="Times New Roman"/>
          <w:sz w:val="28"/>
          <w:szCs w:val="28"/>
        </w:rPr>
        <w:t xml:space="preserve"> та нежитлов</w:t>
      </w:r>
      <w:r>
        <w:rPr>
          <w:rFonts w:ascii="Times New Roman" w:hAnsi="Times New Roman"/>
          <w:sz w:val="28"/>
          <w:szCs w:val="28"/>
        </w:rPr>
        <w:t xml:space="preserve">их будинків, приміщень </w:t>
      </w:r>
      <w:r w:rsidRPr="00623803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житлові на території Вишнівської сільської ради</w:t>
      </w:r>
      <w:r w:rsidR="00172D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згідно 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дода</w:t>
      </w:r>
      <w:r w:rsidR="00172D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тку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E2AFC51" w14:textId="19844F55" w:rsidR="00C21B56" w:rsidRDefault="00C21B56" w:rsidP="00C21B56">
      <w:pPr>
        <w:spacing w:after="0" w:line="240" w:lineRule="auto"/>
        <w:ind w:left="11" w:right="28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ординацію роботи 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виконанням цього рішення покласти на начальник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відділу містобудування, архітектури,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житлово - комунального господарства та цивільного захисту (Наталія СОЛОДУХА)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387C27C4" w14:textId="7636820E" w:rsidR="00C21B56" w:rsidRPr="00357A0D" w:rsidRDefault="00BC4BB6" w:rsidP="00C21B56">
      <w:pPr>
        <w:spacing w:after="0" w:line="240" w:lineRule="auto"/>
        <w:ind w:left="11" w:right="28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C21B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21B56" w:rsidRPr="00F06F9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C21B56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C21B56" w:rsidRPr="00F06F99">
        <w:rPr>
          <w:rFonts w:ascii="Times New Roman" w:eastAsia="Times New Roman" w:hAnsi="Times New Roman" w:cs="Times New Roman"/>
          <w:sz w:val="28"/>
          <w:szCs w:val="28"/>
        </w:rPr>
        <w:t xml:space="preserve">рішення </w:t>
      </w:r>
      <w:r w:rsidR="00C21B56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Віктора СУЩИКА</w:t>
      </w:r>
      <w:r w:rsidR="00C21B56" w:rsidRPr="00F06F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0E4999" w14:textId="77777777" w:rsidR="00C21B56" w:rsidRDefault="00C21B56" w:rsidP="00C21B56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</w:p>
    <w:p w14:paraId="552A1952" w14:textId="77777777" w:rsidR="00C21B56" w:rsidRPr="007173B9" w:rsidRDefault="00C21B56" w:rsidP="00C21B56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7173B9">
        <w:rPr>
          <w:rFonts w:ascii="Times New Roman" w:eastAsia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Сільський голова  </w:t>
      </w:r>
      <w:r w:rsidRPr="007173B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                                                                                 Віктор СУЩИК </w:t>
      </w:r>
    </w:p>
    <w:p w14:paraId="624FAA2D" w14:textId="77777777" w:rsidR="00172DCD" w:rsidRDefault="00172DCD" w:rsidP="00C21B56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en-US"/>
          <w14:ligatures w14:val="standardContextual"/>
        </w:rPr>
      </w:pPr>
    </w:p>
    <w:p w14:paraId="4B1A351B" w14:textId="03E42442" w:rsidR="00C21B56" w:rsidRPr="007173B9" w:rsidRDefault="00C21B56" w:rsidP="00C21B56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en-US"/>
          <w14:ligatures w14:val="standardContextual"/>
        </w:rPr>
      </w:pPr>
      <w:r w:rsidRPr="007173B9">
        <w:rPr>
          <w:rFonts w:ascii="Times New Roman" w:eastAsia="Times New Roman" w:hAnsi="Times New Roman" w:cs="Times New Roman"/>
          <w:kern w:val="2"/>
          <w:sz w:val="20"/>
          <w:szCs w:val="20"/>
          <w:lang w:eastAsia="en-US"/>
          <w14:ligatures w14:val="standardContextual"/>
        </w:rPr>
        <w:t>Ірина Богуш</w:t>
      </w:r>
    </w:p>
    <w:p w14:paraId="4774303D" w14:textId="77777777" w:rsidR="00C21B56" w:rsidRDefault="00C21B56" w:rsidP="00C21B56"/>
    <w:p w14:paraId="598CE734" w14:textId="77777777" w:rsidR="00824F28" w:rsidRDefault="00824F28" w:rsidP="00C21B56"/>
    <w:p w14:paraId="3285BB16" w14:textId="77777777" w:rsidR="00824F28" w:rsidRDefault="00824F28" w:rsidP="00C21B56"/>
    <w:p w14:paraId="4126BA96" w14:textId="77777777" w:rsidR="00824F28" w:rsidRDefault="00824F28" w:rsidP="00C21B56"/>
    <w:p w14:paraId="48B8A104" w14:textId="77777777" w:rsidR="001E26CC" w:rsidRDefault="001E26CC" w:rsidP="00C21B56"/>
    <w:p w14:paraId="4F6B6F6C" w14:textId="77777777" w:rsidR="00C21B56" w:rsidRPr="004D5C2D" w:rsidRDefault="00C21B56" w:rsidP="00C21B56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Додаток </w:t>
      </w:r>
    </w:p>
    <w:p w14:paraId="679E6536" w14:textId="77777777" w:rsidR="00C21B56" w:rsidRPr="004D5C2D" w:rsidRDefault="00C21B56" w:rsidP="00C21B5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>до рішення виконавчого комітету</w:t>
      </w:r>
    </w:p>
    <w:p w14:paraId="429DC6CC" w14:textId="77777777" w:rsidR="00C21B56" w:rsidRPr="004D5C2D" w:rsidRDefault="00C21B56" w:rsidP="00C21B5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>Вишнівської сільської ради</w:t>
      </w:r>
    </w:p>
    <w:p w14:paraId="39E05574" w14:textId="262EAD7F" w:rsidR="00C21B56" w:rsidRPr="00C70B61" w:rsidRDefault="00C21B56" w:rsidP="00C21B5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від </w:t>
      </w:r>
      <w:r w:rsidR="004D5C2D"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>27</w:t>
      </w:r>
      <w:r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>.12.2024 р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. </w:t>
      </w:r>
      <w:r w:rsidR="00172DCD" w:rsidRPr="004D5C2D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№13/6  </w:t>
      </w:r>
    </w:p>
    <w:p w14:paraId="6E3B18B5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</w:p>
    <w:p w14:paraId="6C2FC23A" w14:textId="77777777" w:rsidR="00C21B56" w:rsidRPr="005D7D3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Порядок</w:t>
      </w:r>
    </w:p>
    <w:p w14:paraId="7F3B0940" w14:textId="77777777" w:rsidR="00C21B56" w:rsidRPr="005D7D3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переведення житлового приміщення (будинку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,</w:t>
      </w:r>
      <w:r w:rsidRPr="005D7D3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 квартири) у нежитлове приміщення та нежитлового приміщення</w:t>
      </w:r>
    </w:p>
    <w:p w14:paraId="16DEE8E5" w14:textId="77777777" w:rsidR="00C21B5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у житлове приміщення (будинок, квартиру)</w:t>
      </w:r>
    </w:p>
    <w:p w14:paraId="00994A6C" w14:textId="77777777" w:rsidR="00C21B56" w:rsidRPr="009C35B4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B"/>
          <w:sz w:val="16"/>
          <w:szCs w:val="16"/>
        </w:rPr>
      </w:pPr>
    </w:p>
    <w:p w14:paraId="13C8D1AD" w14:textId="77777777" w:rsidR="00C21B5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9C35B4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І.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ЗАГАЛЬНІ ПОЛОЖЕННЯ</w:t>
      </w:r>
    </w:p>
    <w:p w14:paraId="1A20956B" w14:textId="77777777" w:rsidR="00C21B5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</w:p>
    <w:p w14:paraId="6F10F85B" w14:textId="77777777" w:rsidR="00C21B56" w:rsidRDefault="00C21B56" w:rsidP="00C21B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1.1. Порядок переведення </w:t>
      </w:r>
      <w:r w:rsidRPr="00623803">
        <w:rPr>
          <w:rFonts w:ascii="Times New Roman" w:hAnsi="Times New Roman"/>
          <w:sz w:val="28"/>
          <w:szCs w:val="28"/>
        </w:rPr>
        <w:t>житлов</w:t>
      </w:r>
      <w:r>
        <w:rPr>
          <w:rFonts w:ascii="Times New Roman" w:hAnsi="Times New Roman"/>
          <w:sz w:val="28"/>
          <w:szCs w:val="28"/>
        </w:rPr>
        <w:t>их</w:t>
      </w:r>
      <w:r w:rsidRPr="00623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будинків, </w:t>
      </w:r>
      <w:r w:rsidRPr="00623803">
        <w:rPr>
          <w:rFonts w:ascii="Times New Roman" w:hAnsi="Times New Roman"/>
          <w:sz w:val="28"/>
          <w:szCs w:val="28"/>
        </w:rPr>
        <w:t>приміщен</w:t>
      </w:r>
      <w:r>
        <w:rPr>
          <w:rFonts w:ascii="Times New Roman" w:hAnsi="Times New Roman"/>
          <w:sz w:val="28"/>
          <w:szCs w:val="28"/>
        </w:rPr>
        <w:t>ь</w:t>
      </w:r>
      <w:r w:rsidRPr="00623803">
        <w:rPr>
          <w:rFonts w:ascii="Times New Roman" w:hAnsi="Times New Roman"/>
          <w:sz w:val="28"/>
          <w:szCs w:val="28"/>
        </w:rPr>
        <w:t xml:space="preserve"> у нежитлов</w:t>
      </w:r>
      <w:r>
        <w:rPr>
          <w:rFonts w:ascii="Times New Roman" w:hAnsi="Times New Roman"/>
          <w:sz w:val="28"/>
          <w:szCs w:val="28"/>
        </w:rPr>
        <w:t>і</w:t>
      </w:r>
      <w:r w:rsidRPr="00623803">
        <w:rPr>
          <w:rFonts w:ascii="Times New Roman" w:hAnsi="Times New Roman"/>
          <w:sz w:val="28"/>
          <w:szCs w:val="28"/>
        </w:rPr>
        <w:t xml:space="preserve"> та нежитлов</w:t>
      </w:r>
      <w:r>
        <w:rPr>
          <w:rFonts w:ascii="Times New Roman" w:hAnsi="Times New Roman"/>
          <w:sz w:val="28"/>
          <w:szCs w:val="28"/>
        </w:rPr>
        <w:t xml:space="preserve">их будинків, приміщень </w:t>
      </w:r>
      <w:r w:rsidRPr="00623803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житлові на території Вишнівської сільської ради</w:t>
      </w:r>
      <w:r w:rsidRPr="0035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(далі – Порядок) є нормативно-правовим актом,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який </w:t>
      </w:r>
      <w:r w:rsidRPr="003C4343">
        <w:rPr>
          <w:rFonts w:ascii="Times New Roman" w:hAnsi="Times New Roman"/>
          <w:sz w:val="28"/>
          <w:szCs w:val="28"/>
        </w:rPr>
        <w:t>розроблено відповідно до Цивільного кодексу України, Житлового кодексу Україн</w:t>
      </w:r>
      <w:r>
        <w:rPr>
          <w:rFonts w:ascii="Times New Roman" w:hAnsi="Times New Roman"/>
          <w:sz w:val="28"/>
          <w:szCs w:val="28"/>
        </w:rPr>
        <w:t>и</w:t>
      </w:r>
      <w:r w:rsidRPr="003C4343">
        <w:rPr>
          <w:rFonts w:ascii="Times New Roman" w:hAnsi="Times New Roman"/>
          <w:sz w:val="28"/>
          <w:szCs w:val="28"/>
        </w:rPr>
        <w:t>, Законів України “Про місцеве самоврядування в Україні”, “Про приватизацію державного житлового фонду”, “Про об’єднання співвласників багатоквартирного будинку”,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Української РСР від 26.04.1984   № 189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B233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Правил користування приміщеннями житлових будинків, затверджених постановою Кабінету Міністрів України від 08 жовтня 1992 року № 572 ( зі змінами)</w:t>
      </w:r>
      <w:r w:rsidRPr="003C4343">
        <w:rPr>
          <w:rFonts w:ascii="Times New Roman" w:hAnsi="Times New Roman"/>
          <w:sz w:val="28"/>
          <w:szCs w:val="28"/>
        </w:rPr>
        <w:t>.</w:t>
      </w:r>
    </w:p>
    <w:p w14:paraId="7914B261" w14:textId="77777777" w:rsidR="00C21B56" w:rsidRPr="00791671" w:rsidRDefault="00C21B56" w:rsidP="00C21B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Переведення придатних для проживання житлових будинків і житлових приміщень у будинках державного і громадського житлового фонду в нежитлов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і, як правило, не допускається. </w:t>
      </w:r>
      <w:r w:rsidRPr="00C70B61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У виняткових випадках переведення придатних для проживання житлових приміщень (квартир) і житлових будинків (або їх частин) комунальної власності в нежитлові та навпаки може здійснюватися за рішенням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Вишнівської</w:t>
      </w:r>
      <w:r w:rsidRPr="00C70B61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сільської ради.</w:t>
      </w:r>
    </w:p>
    <w:p w14:paraId="2A0C2A73" w14:textId="563A0852" w:rsidR="00C21B56" w:rsidRPr="00306395" w:rsidRDefault="00C21B56" w:rsidP="00C21B56">
      <w:pPr>
        <w:spacing w:after="0" w:line="240" w:lineRule="auto"/>
        <w:ind w:right="28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</w:t>
      </w: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 визначає механізм переведення житлового приміщення (житлового будинку) у нежитлове та нежитлового приміщення у житлове з метою відкриття об’єктів певного виду призначення, є обов’язковим для фізичних осіб та суб’єктів господарювання у регулюванні правових відносин, що виникають у процесі розміщення об’єктів у житловому фонді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ела</w:t>
      </w: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регулює порядок підготовки документів для прийняття відповідного рішення викон</w:t>
      </w:r>
      <w:r w:rsidR="00824F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авчого </w:t>
      </w: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>ком</w:t>
      </w:r>
      <w:r w:rsidR="00824F28">
        <w:rPr>
          <w:rFonts w:ascii="Times New Roman" w:eastAsia="Calibri" w:hAnsi="Times New Roman" w:cs="Times New Roman"/>
          <w:sz w:val="28"/>
          <w:szCs w:val="28"/>
          <w:lang w:eastAsia="en-US"/>
        </w:rPr>
        <w:t>ітету</w:t>
      </w: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сільської ради.</w:t>
      </w:r>
    </w:p>
    <w:p w14:paraId="2FC55751" w14:textId="77777777" w:rsidR="00C21B56" w:rsidRPr="00306395" w:rsidRDefault="00C21B56" w:rsidP="00C21B56">
      <w:pPr>
        <w:spacing w:after="0" w:line="240" w:lineRule="auto"/>
        <w:ind w:right="28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 Порядок переведення житлового приміщення (житлового будинку) у нежитлове та нежитлового приміщення у житлове (далі – Порядок) поширюється на весь житловий та нежитловий фонди, що знаходяться на території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</w:t>
      </w:r>
      <w:r w:rsidRPr="00306395">
        <w:rPr>
          <w:rFonts w:ascii="Times New Roman" w:eastAsia="Calibri" w:hAnsi="Times New Roman" w:cs="Times New Roman"/>
          <w:sz w:val="28"/>
          <w:szCs w:val="28"/>
          <w:lang w:eastAsia="en-US"/>
        </w:rPr>
        <w:t>кої сільської ради, незалежно від форм власності та балансової належності.</w:t>
      </w:r>
    </w:p>
    <w:p w14:paraId="40B39A96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1.4. У цьому Порядку терміни вживаються у такому значенні:</w:t>
      </w:r>
    </w:p>
    <w:p w14:paraId="453E565E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Балансоутримувач будинку, споруди, житлового комплексу або комплексу будинків і споруд – власник або юридична особа, яка за договором з власником утримує на балансі відповідне майно, а також веде бухгалтерську, статистичну та іншу передбачену законодавством звітність, здійснює розрахунки коштів,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>необхідних для своєчасного проведення капітального і поточного ремонтів та утримання, а також забезпечує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управління цим майном і несе відповідальність за його експлуатацію згідно з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законом.</w:t>
      </w:r>
    </w:p>
    <w:p w14:paraId="038420E1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Замовник – фізична або юридична особа, що має наміри здійснити перепланування та/або переобладнання приміщення; переведення нежитлових при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міщень у категорію житлових.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Замовником виступають: власник (співвласники) приміщення, балансоутримувач, уповноважена особа.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 наявності письмової згоди власника приміщення замовником, при намірі здійснити перепланування та/або переобладнання приміщення може виступити наймач або орендар приміщення.</w:t>
      </w:r>
    </w:p>
    <w:p w14:paraId="7EEE0B36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Громадський будинок – будинок, споруда чи комплекс громадського призначення.</w:t>
      </w:r>
    </w:p>
    <w:p w14:paraId="0D310EA8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Гуртожиток – будівля капітального типу, що призначена (призначалась) для проживання робітників, службовців, студентів, учнів, а також інших громадян у період роботи або навчання.</w:t>
      </w:r>
    </w:p>
    <w:p w14:paraId="2E0BF635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Житловий будинок – будівля капітального типу, споруджена з дотриманням вимог, установлених законом, іншими нормативно-правовими актами, і призначена для постійного в ній проживання.</w:t>
      </w:r>
    </w:p>
    <w:p w14:paraId="1BF12B6B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Житлове приміщення – опалюване приміщення, розташоване у надземному поверсі, призначене для цілорічного проживання і яке відповідає санітарно-епідеміологічним вимогам щодо мікроклімату і повітряного середовища, природного освітлення, допустимих рівнів нормованих параметрів відносно шуму, вібрації, ультразвуку та інфразвуку, електричних та електромагнітних полів та іонізуючого випромінювання.</w:t>
      </w:r>
    </w:p>
    <w:p w14:paraId="0E1B6B6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Капітальний ремонт – ремонт приміщення з метою відновлення його ресурсу із заміною, за необхідності, конструктивних та огороджувальних елементів, систем інженерного обладнання, а також поліпшення його експлуатаційних показників.</w:t>
      </w:r>
    </w:p>
    <w:p w14:paraId="4CF35B54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Нежитлове приміщення – приміщення в структурі житлового будинку, що не відноситься до житлового фонду. Є самостійним об'є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ктом цивільно-правових відносин.</w:t>
      </w:r>
    </w:p>
    <w:p w14:paraId="2F037F5B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Підвальне приміщення – приміщення, розташоване в підвальному поверсі (підвальний поверх – поверх, позначка підлоги приміщень якого нижче планувальної позначки землі більше ніж на половину висоти приміщень).</w:t>
      </w:r>
    </w:p>
    <w:p w14:paraId="343997BB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Підсобні (допоміжні) приміщення багатоквартирного житлового будинку – приміщення, призначені для забезпечення експлуатації будинку та побутового обслуговування його мешканців (сходові клітки, вестибюлі, перехідні шлюзи, позаквартирні коридори, колясочні, комори, сміттєзбірні камери, горища, підвали, шахти тощо).</w:t>
      </w:r>
    </w:p>
    <w:p w14:paraId="207EBA5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Переобладнання – улаштування в окремих жилих будинках, жилих і нежилих у жилих будинках приміщень, нежилих приміщеннях туалетів, ванних кімнат, вентиляційних каналів.</w:t>
      </w:r>
    </w:p>
    <w:p w14:paraId="38BED061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Поверх технічний – поверх для розміщення інженерного обладнання і прокладання комунікацій, може бути розташований у нижній (технічне підпілля), верхній (технічне горище) або в середній частині будинку.</w:t>
      </w:r>
    </w:p>
    <w:p w14:paraId="0B4CE4FF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Прибудова – вид реконструкції, при якій збільшується площа забудови житлового будинку шляхом створення нових приміщень, що безпосередньо прилягають до зовнішніх стін будинку.</w:t>
      </w:r>
    </w:p>
    <w:p w14:paraId="1FF9B041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>Проектна документація – затверджені у встановленому порядку текстові та графічні матеріали, якими визначаються містобудівні об'ємно-планувальні, архітектурні, конструктивні, технічні, технологічні рішення, а також кошториси об'єктів будівництва.</w:t>
      </w:r>
    </w:p>
    <w:p w14:paraId="48EB6822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Реконструкція – перебудова введених в експлуатацію у встановленому порядку об’єктів будівництва, яка передбачає удосконалення виробництва, підвищення його техніко-економічного рівня та якості продукції, що виготовляється, поліпшення умов експлуатації та проживання, якості послуг, зміну основних техніко-економічних показників (кількість продукції, потужність, функціональне призначення, геометричні розміри тощо).</w:t>
      </w:r>
    </w:p>
    <w:p w14:paraId="0A06B4E0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Технічні приміщення – приміщення для розміщення обладнання тепловузлів, бойлерних, щитових, вентиляційних камер, насосних станцій, комутаторів, радіовузлів, машинних відділень ліфтів, холодильних установок та ін.</w:t>
      </w:r>
    </w:p>
    <w:p w14:paraId="3E55A4A8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Цокольне приміщення – приміщення, розташоване в цокольному поверсі (цокольний поверх – поверх, позначка підлоги приміщень якого нижче планувальної позначки землі на висоту не більше половини висоти приміщень).</w:t>
      </w:r>
    </w:p>
    <w:p w14:paraId="769A8C1B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Інші поняття та терміни визначаються діючими нормативно-правовими актами, що регулюють питання архітектури, будівництва та житлово-комунального господарства.</w:t>
      </w:r>
    </w:p>
    <w:p w14:paraId="21FDE82A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1.5. Проведення перепланування та/або переобладнання приміщень, влаштування (чи зміну функціонального призначення) в існуючих житлових та громадських будинках вбудованих приміщень громадського призначення дозволяється проводити лише після отримання дозволу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Вишнівської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сільської ради, прибудову – після отримання містобудівних умов та обмежень забудови земельної ділянки.</w:t>
      </w:r>
    </w:p>
    <w:p w14:paraId="24C04C94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1.6. Проведення робіт, вказаних в п.1.5, без дозволу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Вишнівської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сільської ради чи без отримання містобудівних умов і обмежень, вважається самовільним. Фізичні чи юридичні особи, що здійснили самовільне перепланування чи переобладнання, несуть відповідальність, передбачену законодавством.</w:t>
      </w:r>
    </w:p>
    <w:p w14:paraId="0046A1E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1.7. Переведення житлових приміщень (квартир) і житлових будинків (або їх частин) в нежитлові здійснюється з урах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уванням вимог </w:t>
      </w:r>
      <w:r w:rsidRPr="002938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державних будівельних норм України.</w:t>
      </w:r>
      <w:r w:rsidRPr="00864E8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Розміщення житлових приміщень у цокольних, підвальних і підземних поверхах житлових будинків не допускається.</w:t>
      </w:r>
    </w:p>
    <w:p w14:paraId="30BD25F5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1.8. Спори з питань переведення житлових прим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іщень у нежитлові і нежитлових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приміщень у житлові вирішуються в судовому порядку відповідно до чинного  законодавства.</w:t>
      </w:r>
    </w:p>
    <w:p w14:paraId="6365ED16" w14:textId="77777777" w:rsidR="00C21B56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</w:p>
    <w:p w14:paraId="58455F59" w14:textId="77777777" w:rsidR="00C21B56" w:rsidRDefault="00C21B56" w:rsidP="00C21B5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ІІ. ОСОБЛИВОСТІ ПЕРЕВЕДЕННЯ ЖИТЛОВИХ ПРИМІЩЕНЬ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БУДИНКІВ (АБО ЇХ ЧАСТИН) В НЕЖИТЛОВІ ТА НАВПАКИ</w:t>
      </w:r>
    </w:p>
    <w:p w14:paraId="7867CAEC" w14:textId="77777777" w:rsidR="00C21B56" w:rsidRPr="009C35B4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16"/>
          <w:szCs w:val="16"/>
        </w:rPr>
      </w:pPr>
    </w:p>
    <w:p w14:paraId="40E0A7A9" w14:textId="77777777" w:rsidR="00C21B56" w:rsidRDefault="00C21B56" w:rsidP="00824F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2.1. Переведення житлових приміщень у нежитлові проводяться у випадках:</w:t>
      </w:r>
    </w:p>
    <w:p w14:paraId="058CD5D7" w14:textId="77777777" w:rsidR="00C21B56" w:rsidRDefault="00C21B56" w:rsidP="00824F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визнання у встановленому порядку жилих приміщень непридатними для проживання;</w:t>
      </w:r>
    </w:p>
    <w:p w14:paraId="06F44B9C" w14:textId="77777777" w:rsidR="00C21B56" w:rsidRPr="005D7D36" w:rsidRDefault="00C21B56" w:rsidP="00824F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зміни функціонального призначення житлового приміщення.</w:t>
      </w:r>
    </w:p>
    <w:p w14:paraId="6505637B" w14:textId="77777777" w:rsidR="00C21B56" w:rsidRPr="00864E8E" w:rsidRDefault="00C21B56" w:rsidP="00824F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2.2. В нежитлові можуть бути переведені, як виняток, житлові приміщення, розташовані у цокольних поверхах, на перших поверхах, та у виключних випадках на других поверхах житлових багатоповерхових будинків, окремо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 xml:space="preserve">розташовані житлові будинки для розміщення в них об’єктів невиробничої сфери. </w:t>
      </w:r>
      <w:r w:rsidRPr="00864E8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Якщо квартира, що переводиться, розташована вище першого поверху, то всі приміщення, розташовані під нею, повинні мати статус нежитлових.</w:t>
      </w:r>
    </w:p>
    <w:p w14:paraId="1AC64E49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Житлове приміщення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будинки (або їх частини), які планується переводити в нежитлові не повинні використовуватися для постійного проживання, а також не повинні бути обтяжені правами третіх осіб.</w:t>
      </w:r>
    </w:p>
    <w:p w14:paraId="44B60FE0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Громадяни, які мешкали в них до прийняття рішення про переведення, повинні бути зняті з реєстрації місця проживання за даною адресою.</w:t>
      </w:r>
    </w:p>
    <w:p w14:paraId="178BD78C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 разі коли співвласниками приміщень є діти або недієздатні особи, переведення житлових будинків (їх частин)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нежитлові приміщення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 навпаки здійснюється відповідно до закону за згодою органу опіки та піклування.</w:t>
      </w:r>
    </w:p>
    <w:p w14:paraId="6AD8E129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2.3. У разі наявності в житлових приміщеннях самовільного перепланування (переобладнання), спочатку необхідно вирішити питання про збереження та оформлення приміщень, що самовільно переплановані або переобладнані.</w:t>
      </w:r>
    </w:p>
    <w:p w14:paraId="1D42D0CA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2.4. При переведенні житлових приміщень в нежитлові повинно зазначатися їх цільове призначення.</w:t>
      </w:r>
    </w:p>
    <w:p w14:paraId="2750A8A1" w14:textId="77777777" w:rsidR="00C21B56" w:rsidRPr="002938F9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2.5. В житлові можуть бути переведені, як виняток, нежилі приміщення, розташовані у цокольних поверхах, на перших поверхах, </w:t>
      </w:r>
      <w:r w:rsidRPr="00110C3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окремо розташовані нежитлові будівлі для розміщення в них об’єктів житлового фонду, за умови їх розташування у межах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Вишнівської </w:t>
      </w:r>
      <w:r w:rsidRPr="00110C3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територіальної громади, на землях житлової </w:t>
      </w:r>
      <w:r w:rsidRPr="002938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 громадської забудови, з урахуванням державних будівельних норм України.</w:t>
      </w:r>
    </w:p>
    <w:p w14:paraId="5C61FAC2" w14:textId="7B8F3D35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 житлового фонду можуть бути переведені нежитлові приміщення, розташовані у житлових будинках</w:t>
      </w:r>
      <w:r w:rsidR="00F81C8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 приміщення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A00E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шк</w:t>
      </w:r>
      <w:r w:rsidR="00F81C8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і</w:t>
      </w:r>
      <w:r w:rsidRPr="005A00E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л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 які будуть використовуватись громадянами для поліпшення побутових умов.</w:t>
      </w:r>
    </w:p>
    <w:p w14:paraId="35DDCF40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2.6. Не допускається:</w:t>
      </w:r>
    </w:p>
    <w:p w14:paraId="19649DDF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1) переведення житлових приміщень багатоквартирного житлового будинку у нежитлові з метою розміщення:</w:t>
      </w:r>
    </w:p>
    <w:p w14:paraId="440942C3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а) виробництва промислового характеру;</w:t>
      </w:r>
    </w:p>
    <w:p w14:paraId="32530902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б) підприємств громадського харчування з кількістю посадкових місць більше 20 і домових кухонь продуктивністю понад 200 обідів у день;</w:t>
      </w:r>
    </w:p>
    <w:p w14:paraId="368D6738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пунктів приймання склотари;</w:t>
      </w:r>
    </w:p>
    <w:p w14:paraId="69BDB2D9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магазинів сумарною торговою площею більше 1000 кв.м;</w:t>
      </w:r>
    </w:p>
    <w:p w14:paraId="2D831111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спеціалізованих закладів і підприємств, експлуатація яких може призвести до забруднення території та повітря житлової забудови, перевищення допустимих рівнів шуму, вібрації, іонізуючого і неіонізуючого випромінювання (висновок про відсутність можливих забруднень або шкідливих впливів запланованого специфічного закладу на навколишнє середовище надає ліцензована проектна організація);</w:t>
      </w:r>
    </w:p>
    <w:p w14:paraId="183271AD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е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підприємств побутового обслуговування, на виробництві яких застосовуються легкозаймисті і вибухонебезпечні речовини (за винятком перукарень, майстерень з ремонту годинників площею до 300 кв.м);</w:t>
      </w:r>
    </w:p>
    <w:p w14:paraId="623FABAC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майстерень з ремонту побутових машин і приладів або ремонту взуття площею понад 100 кв.м;</w:t>
      </w:r>
    </w:p>
    <w:p w14:paraId="3FA9DDAB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ж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лазень (бань), пралень і хімчисток (окрім приймальних пунктів хімчисток і пралень самообслуговування продуктивністю до 75 кг білизни у зміну);</w:t>
      </w:r>
    </w:p>
    <w:p w14:paraId="72A9D072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автоматичних телефонних станцій, призначених для телефонізації житлових будинків загальною площею більше 100 кв.м;</w:t>
      </w:r>
    </w:p>
    <w:p w14:paraId="77AE91C2" w14:textId="77777777" w:rsidR="00C21B5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и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громадських вбиралень;</w:t>
      </w:r>
    </w:p>
    <w:p w14:paraId="7F1AB27D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 похоронних бюро.</w:t>
      </w:r>
    </w:p>
    <w:p w14:paraId="3E3E5EB8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>2) самовільна реконструкція, яка призводить до порушення міцності або до руйнування несучих конструкцій приміщення та будинку в цілому, погіршення цілісності і зовнішнього вигляду фасадів;</w:t>
      </w:r>
    </w:p>
    <w:p w14:paraId="79C495AD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3)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переведення частини жилого приміщення, наприклад, кімнати у житловому будинку (приміщення повинно бути ізольованим і мати статус окремого жилого приміщення);</w:t>
      </w:r>
    </w:p>
    <w:p w14:paraId="05AF1014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4) переведення в нежитловий фонд аварійного житла та такого, що підлягає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зносу або капітальному ремонту;</w:t>
      </w:r>
    </w:p>
    <w:p w14:paraId="2808770E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5) переведення до жилого фонду нежитлових приміщень (нежитлового будинку), що підлягає зносу або капітальному ремонту.</w:t>
      </w:r>
    </w:p>
    <w:p w14:paraId="67CC18DE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2.7. Переведення житлового приміщення в нежитлове, зміна функціонального призначення при реконструкції та спорудження будь-яких прибудов до приміщень будинків, що розміщуються у житлових будинках і переведені із житлового у нежитловий фонд, дозволяється лише за наявності письмової згоди на ц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е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балансоутримувача та власників прилеглих квартир житлового будинку (прилеглими вважаються приміщення, які мають спільні стіни або знаходяться безпосередньо над чи під приміщеннями до яких здійснюється прибудова).</w:t>
      </w:r>
    </w:p>
    <w:p w14:paraId="1BE2F31D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2.8. Для переведе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ння житлового приміщення в нежитлове є обов’язковим наявність окремого входу, не пов’язаного з під’їздом (головним входом) до жилого будинку або його улаштування у разі відсутності. При відсутності технічної можливості виконання цієї вимоги переведення неможливо.</w:t>
      </w:r>
    </w:p>
    <w:p w14:paraId="6C9559AD" w14:textId="77777777" w:rsidR="00C21B56" w:rsidRPr="009A6A5B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2.9. Для переведення нежилих приміщень, нежитлових будинків до житлового фонду є обов’язковим:</w:t>
      </w:r>
    </w:p>
    <w:p w14:paraId="389E4041" w14:textId="77777777" w:rsidR="00C21B56" w:rsidRPr="005D7D36" w:rsidRDefault="00C21B56" w:rsidP="00C21B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одержання технічного висновку ліцензованої проектної організації про стан існуючих будівельних конструкцій, інженерних мереж та можливості їх подальшої експлуатації із зміною цільового використання з метою використання їх як житло, з обґрунтуванням можливості розміщення об’єкту житлового фонду (проектно-кошторисна документація), виготовленого проектною організацією, яка має відповідні дозволи на виконання таких видів робіт.</w:t>
      </w:r>
    </w:p>
    <w:p w14:paraId="2A13C19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10.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 разі переведення жилого приміщення, жилого будинку до нежитлового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фонду, нежитлового приміщення, нежитлової будівлі до житлового фонду,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 наявності державної реєстрації права землекористування, власник чи користувач земельної ділянки повинен провес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ти дії, направлені на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зміну цільового призначення земельної ділянки згідно з вимогами земельного законодавства.</w:t>
      </w:r>
    </w:p>
    <w:p w14:paraId="52F5F49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2.11.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Виконання робіт з реконструкції (капітального ремонту), введення об’єктів в експлуатацію, державна реєстрацію прав на нерухоме майно здійснюється відповідно до Законів України «Про регулювання містобудівної діяльності», «Про державну реєстрацію речових прав на нерухоме майно та їх обтяжень» та інших нормативно-правових актів у галузі будівництва та державної реєстрації прав на нерухоме майно.</w:t>
      </w:r>
    </w:p>
    <w:p w14:paraId="40B492E1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Зареєстрована декларація про готовність об’єкта до експлуатації або сертифікат є підставою для укладення договорів про постачання на прийнятий в експлуатацію об’єкт необхідних для його функціонування ресурсів – води, природного газу, електроенергії, включення даних про такий об’єкт до державної статистичної звітності та оформлення права власності на нього.</w:t>
      </w:r>
    </w:p>
    <w:p w14:paraId="6A7395A8" w14:textId="77777777" w:rsidR="00C21B56" w:rsidRPr="00542C82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6F4138A7" w14:textId="77777777" w:rsidR="00C21B56" w:rsidRPr="005D7D3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ІІІ. ПОРЯДОК ОФОРМЛЕННЯ ДОЗВОЛІВ НА ПЕРЕВЕДЕННЯ ЖИТЛОВИХ</w:t>
      </w:r>
    </w:p>
    <w:p w14:paraId="34274AB7" w14:textId="77777777" w:rsidR="00C21B56" w:rsidRDefault="00C21B56" w:rsidP="00C21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>ТА НЕЖИТЛОВИХ ПРИМІЩЕНЬ</w:t>
      </w:r>
    </w:p>
    <w:p w14:paraId="626A259F" w14:textId="77777777" w:rsidR="00C21B56" w:rsidRDefault="00C21B56" w:rsidP="00C21B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1D32281E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3.1. Для переведення житлових приміщень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будинків (або їх частин) у нежитлові та навпаки власник або уповноважена ним особа за дорученням (з доданням нотаріально завіреної копії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доручення) подає заяву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 ім’я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Вишнівського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сільського голови.</w:t>
      </w:r>
    </w:p>
    <w:p w14:paraId="2839DB32" w14:textId="77777777" w:rsidR="00C21B56" w:rsidRPr="009A6A5B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 заяви додаються наступні документи та матеріали:</w:t>
      </w:r>
    </w:p>
    <w:p w14:paraId="4E9ACDE7" w14:textId="77777777" w:rsidR="00C21B56" w:rsidRPr="009A6A5B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1) для фізичної особи: копія паспорту та ідентифікаційного номеру;</w:t>
      </w:r>
    </w:p>
    <w:p w14:paraId="23D9EE5D" w14:textId="77777777" w:rsidR="00C21B56" w:rsidRPr="009A6A5B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2)для юридичної особи: статут підприємства (посвідчено в установленому законом порядку); довідку про внесення до Єдиного державного реєстру (копія);</w:t>
      </w:r>
    </w:p>
    <w:p w14:paraId="7A9A1849" w14:textId="77777777" w:rsidR="00C21B56" w:rsidRPr="009A6A5B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3) копію документу, яка підтверджує право власності на житлове приміщення, житловий будинок (нежитлові приміщення, нежитловий будинок) посвідчено в установленому законом порядку;</w:t>
      </w:r>
    </w:p>
    <w:p w14:paraId="04A292B2" w14:textId="77777777" w:rsidR="00C21B56" w:rsidRPr="009A6A5B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A6A5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4) копію технічного паспорту на жиле приміщення або жилий будинок (на нежитлові приміщення, нежитловий будинок);</w:t>
      </w:r>
    </w:p>
    <w:p w14:paraId="6BE278F9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5) технічний висновок щодо стану існуючих будівельних конструкцій та інженерних мереж, можливості їх реконструкції та перепланування, з метою зміни цільового призначення та висновок про можливість переведення жилих приміщень, житлового будинку до нежитлового фонду (нежитлових приміщень, нежитлового будинку до житлового фонду), в якому обґрунтовано можливість розміщення об’єкту невиробничої сфери (або розміщення житла), з обов’язковим улаштуванням окремого входу, не пов’язаного з під’їздом житлового будинку (або центрального входу до нежитлової будівлі), виготовлений проектною організацією, яка має право проектувати та оцінювати технічний стан будівель або споруд;</w:t>
      </w:r>
    </w:p>
    <w:p w14:paraId="6A47DF24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6) довідка про відсутність зареєстрованих осіб (при переведенні житлового приміщення в нежитлове);</w:t>
      </w:r>
    </w:p>
    <w:p w14:paraId="62485D7D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7) документ, що підтверджує державну реєстрацію права власності або користування земельною ділянкою;</w:t>
      </w:r>
    </w:p>
    <w:p w14:paraId="0D377674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8) рішення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Вишнівсь</w:t>
      </w: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кої сільської ради (згідно Положення) щодо надання згоди на переведення житлового приміщення у нежитлове, якщо воно розміщене у будинку житлово-будівельного кооперативу або у будинку, в якому створене об’єднання співвласників багатоквартирного будинку;</w:t>
      </w:r>
    </w:p>
    <w:p w14:paraId="23C80527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9) якщо приміщення розміщені у двоквартирному чи багатоквартирному будинку – письмову згоду повнолітніх власників (наймачів) суміжних квартир чи співвласників житлового будинку, власників приміщень (на поверсі, вище та нижче на один поверх). Якщо об'єкти нерухомого майна перебувають у власності різних осіб, але мають спільну стіну (спільні стіни), необхідно отримати згоду власника нерухомого майна, яке межує з об'єктом, цільове призначення якого змінюється. Якщо будинок знаходиться на балансі в організації, письмову згоду потрібно завірити організацією на балансі якої знаходиться будинок.</w:t>
      </w:r>
    </w:p>
    <w:p w14:paraId="4B7A67CF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10) затверджену в установленому порядку згоду суміжних землекористувачів, якщо об’єкт розміщено по межі земельних ділянок;</w:t>
      </w:r>
    </w:p>
    <w:p w14:paraId="31ED4458" w14:textId="77777777" w:rsidR="00C21B56" w:rsidRPr="006321CD" w:rsidRDefault="00C21B56" w:rsidP="00C21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11) інші документи у разі необхідності (згода співвласників об’єктів нерухомого майна, дозвіл органів опіки, тощо).</w:t>
      </w:r>
    </w:p>
    <w:p w14:paraId="7663BD21" w14:textId="77777777" w:rsidR="00C21B56" w:rsidRPr="006321CD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 xml:space="preserve">3.2. Заява, що надійшла до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Вишнівської</w:t>
      </w: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сільської ради розглядається згідно Закону України «Про звернення громадян»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 Закону України «Про адміністративну процедуру».</w:t>
      </w:r>
    </w:p>
    <w:p w14:paraId="6B5BA108" w14:textId="77777777" w:rsidR="00C21B56" w:rsidRPr="006321CD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Відмова щодо можливого переведення з житлового до нежитлового фонду надається автоматично, у разі якщо:</w:t>
      </w:r>
    </w:p>
    <w:p w14:paraId="353DAE76" w14:textId="77777777" w:rsidR="00C21B56" w:rsidRPr="006321CD" w:rsidRDefault="00C21B56" w:rsidP="00C21B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замовником не представлені всі необхідні документи вказані в даному Порядку;</w:t>
      </w:r>
    </w:p>
    <w:p w14:paraId="1A5AB6C4" w14:textId="77777777" w:rsidR="00C21B56" w:rsidRPr="006321CD" w:rsidRDefault="00C21B56" w:rsidP="00C21B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заявлений об’єкт реконструкцій не відповідає будівельним, функціональним, санітарним, протипожежним нормам та ін.;</w:t>
      </w:r>
    </w:p>
    <w:p w14:paraId="25224523" w14:textId="77777777" w:rsidR="00C21B56" w:rsidRDefault="00C21B56" w:rsidP="00C21B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 вмотивовані скарги від мешканців будинку або села;</w:t>
      </w:r>
    </w:p>
    <w:p w14:paraId="2EC31194" w14:textId="77777777" w:rsidR="00C21B56" w:rsidRPr="006321CD" w:rsidRDefault="00C21B56" w:rsidP="00C21B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заявлений заявником об’єкт не відповідає концепції забудови села;</w:t>
      </w:r>
    </w:p>
    <w:p w14:paraId="0C8627A5" w14:textId="77777777" w:rsidR="00C21B56" w:rsidRPr="005D7D36" w:rsidRDefault="00C21B56" w:rsidP="00C21B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подальша реконструкція або перепланування загрожує цілісності конструкції об’єкту.</w:t>
      </w:r>
    </w:p>
    <w:p w14:paraId="11ABA65B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3.3. Утворена Комісія, склад якої затверджено розпорядженням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Вишнівського сільського голови, проводить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комісійне обстеження об’єкту нерухомості.</w:t>
      </w:r>
    </w:p>
    <w:p w14:paraId="0119BA7E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Акт комісії з рекомендаціями (висновками) додається до заяви та пакету, визначених даним Порядком, документів. Після проведення обстеження заява з додатками надається на розгляд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Вишнівської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сільської ради.</w:t>
      </w:r>
    </w:p>
    <w:p w14:paraId="5314278C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Позитивні висновки визначені в акті комісії є основою для прийняття виконавчим комітетом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Вишнівської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сільської ради рішення щодо погодження на переведення житлових приміщень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і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будинків (або їх частин) у нежитлові та навпаки.</w:t>
      </w:r>
    </w:p>
    <w:p w14:paraId="473E1368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 разі відмови вик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онавчим комітетом Вишнівської сільської ради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надати дозвіл на переведення житлових приміщень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будинків (або їх частин) у нежитлові та навпаки, заявнику надається рішення виконкому про відмову.</w:t>
      </w:r>
    </w:p>
    <w:p w14:paraId="337B5127" w14:textId="77777777" w:rsidR="00C21B56" w:rsidRPr="006321CD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1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3.4. Рішення про погодження на переведення житлових приміщень, житлових будинків до нежитлового фонду (або переведення з нежитлового до житлового фонду) для розміщення в них об’єктів невиробничої сфери (або житла), при умові відповідності Закону України «Про регулювання містобудівної діяльності», є підставою для отримання замовником вихідних даних та технічних умов для проведення реконструкції об’єкта із зміною цільового призначення, переобладнання та перепланування.</w:t>
      </w:r>
    </w:p>
    <w:p w14:paraId="1CE50CE0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3.5. Власник нежитлового приміщення сплачує до місцевого бюджету пайовий внесок на розвиток інфраструктури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Вишнівської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сільської ради у відповідності до укладеного договору та чинного законода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вс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тва.</w:t>
      </w:r>
    </w:p>
    <w:p w14:paraId="1A2BC0B3" w14:textId="77777777" w:rsidR="00C21B56" w:rsidRPr="005D7D3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3.6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Прийняття в експлуатацію закінчених реконструкцією об’єктів здійснюється в порядку, визначеному чинним законодавством України.</w:t>
      </w:r>
    </w:p>
    <w:p w14:paraId="1B8C45E8" w14:textId="77777777" w:rsidR="00C21B56" w:rsidRDefault="00C21B56" w:rsidP="00C21B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D7D3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3.7. Реєстрація за власником права власності на приміщення з новим призначенням здійснюється в порядку, встановленому чинним законодавством.</w:t>
      </w:r>
    </w:p>
    <w:p w14:paraId="6F629591" w14:textId="77777777" w:rsidR="00C21B56" w:rsidRPr="006321CD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</w:p>
    <w:p w14:paraId="3410D609" w14:textId="77777777" w:rsidR="00C21B56" w:rsidRPr="005D7D36" w:rsidRDefault="00C21B56" w:rsidP="00C21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04EFE294" w14:textId="77777777" w:rsidR="00C21B56" w:rsidRPr="005D7D36" w:rsidRDefault="00C21B56" w:rsidP="00C21B5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D3E9F0" w14:textId="77777777" w:rsidR="00C21B56" w:rsidRDefault="00C21B56" w:rsidP="00C21B56">
      <w:pPr>
        <w:spacing w:line="240" w:lineRule="auto"/>
        <w:jc w:val="both"/>
      </w:pPr>
    </w:p>
    <w:p w14:paraId="69B8C5E4" w14:textId="77777777" w:rsidR="00C60AB1" w:rsidRPr="00C21B56" w:rsidRDefault="00C60AB1" w:rsidP="00C21B56"/>
    <w:sectPr w:rsidR="00C60AB1" w:rsidRPr="00C21B56" w:rsidSect="00824F28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B1"/>
    <w:rsid w:val="00052B51"/>
    <w:rsid w:val="00083166"/>
    <w:rsid w:val="000C1D4E"/>
    <w:rsid w:val="00172DCD"/>
    <w:rsid w:val="001E26CC"/>
    <w:rsid w:val="002E5F30"/>
    <w:rsid w:val="00327A6C"/>
    <w:rsid w:val="00357A0D"/>
    <w:rsid w:val="003678B4"/>
    <w:rsid w:val="00494D40"/>
    <w:rsid w:val="004D5C2D"/>
    <w:rsid w:val="004E6D7F"/>
    <w:rsid w:val="004F5220"/>
    <w:rsid w:val="0058231A"/>
    <w:rsid w:val="005F5D65"/>
    <w:rsid w:val="00666465"/>
    <w:rsid w:val="00687FF3"/>
    <w:rsid w:val="006D6752"/>
    <w:rsid w:val="007173B9"/>
    <w:rsid w:val="00810E7E"/>
    <w:rsid w:val="00824F28"/>
    <w:rsid w:val="008B5FE7"/>
    <w:rsid w:val="00920F81"/>
    <w:rsid w:val="00965FCD"/>
    <w:rsid w:val="009B5E1C"/>
    <w:rsid w:val="00AB3F6C"/>
    <w:rsid w:val="00B66475"/>
    <w:rsid w:val="00BC4BB6"/>
    <w:rsid w:val="00C1679B"/>
    <w:rsid w:val="00C21B56"/>
    <w:rsid w:val="00C60AB1"/>
    <w:rsid w:val="00CF17CF"/>
    <w:rsid w:val="00D42A15"/>
    <w:rsid w:val="00E650D2"/>
    <w:rsid w:val="00F40AFB"/>
    <w:rsid w:val="00F62758"/>
    <w:rsid w:val="00F8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80CE"/>
  <w15:chartTrackingRefBased/>
  <w15:docId w15:val="{6D177364-9318-423F-BB1A-EAF0F445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FE7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0AB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AB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AB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AB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AB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AB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AB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AB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AB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A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0A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0A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0A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0AB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0A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0A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0A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0A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0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60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0AB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60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0AB1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60A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0AB1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60A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0A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60A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0AB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8B5FE7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13597</Words>
  <Characters>7751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20</cp:revision>
  <cp:lastPrinted>2024-12-27T07:56:00Z</cp:lastPrinted>
  <dcterms:created xsi:type="dcterms:W3CDTF">2024-12-16T08:49:00Z</dcterms:created>
  <dcterms:modified xsi:type="dcterms:W3CDTF">2024-12-30T06:52:00Z</dcterms:modified>
</cp:coreProperties>
</file>